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jc w:val="center"/>
      </w:pPr>
      <w:r>
        <w:rPr>
          <w:rFonts w:ascii="Arial" w:cs="Arial" w:eastAsia="Arial" w:hAnsi="Arial"/>
          <w:b/>
          <w:bCs/>
          <w:color w:val="1F3864"/>
          <w:sz w:val="22"/>
          <w:szCs w:val="22"/>
        </w:rPr>
        <w:t xml:space="preserve">DEPARTMENT OF DEFENSE</w:t>
      </w:r>
    </w:p>
    <w:p>
      <w:pPr>
        <w:spacing w:after="10" w:before="0"/>
        <w:jc w:val="center"/>
      </w:pPr>
      <w:r>
        <w:rPr>
          <w:rFonts w:ascii="Arial" w:cs="Arial" w:eastAsia="Arial" w:hAnsi="Arial"/>
          <w:b w:val="false"/>
          <w:bCs w:val="false"/>
          <w:color w:val="2E75B6"/>
          <w:sz w:val="18"/>
          <w:szCs w:val="18"/>
        </w:rPr>
        <w:t xml:space="preserve">OPERATION IRON SHIELD PROGRAM OFFICE</w:t>
      </w:r>
    </w:p>
    <w:p>
      <w:pPr>
        <w:spacing w:after="60" w:before="0"/>
        <w:jc w:val="center"/>
      </w:pPr>
      <w:r>
        <w:rPr>
          <w:rFonts w:ascii="Arial" w:cs="Arial" w:eastAsia="Arial" w:hAnsi="Arial"/>
          <w:b w:val="false"/>
          <w:bCs w:val="false"/>
          <w:color w:val="2E75B6"/>
          <w:sz w:val="18"/>
          <w:szCs w:val="18"/>
        </w:rPr>
        <w:t xml:space="preserve">INFORMATION SYSTEM SECURITY OFFICER</w:t>
      </w:r>
    </w:p>
    <w:p>
      <w:pPr>
        <w:pBdr>
          <w:bottom w:val="single" w:color="1F3864" w:sz="12" w:space="4"/>
        </w:pBdr>
        <w:spacing w:after="120" w:before="0"/>
      </w:pPr>
      <w:r>
        <w:rPr>
          <w:rFonts w:ascii="Arial" w:cs="Arial" w:eastAsia="Arial" w:hAnsi="Arial"/>
          <w:sz w:val="10"/>
          <w:szCs w:val="10"/>
        </w:rPr>
        <w:t xml:space="preserve"/>
      </w:r>
    </w:p>
    <w:p>
      <w:pPr>
        <w:spacing w:after="60" w:before="0"/>
      </w:pPr>
      <w:r>
        <w:rPr>
          <w:rFonts w:ascii="Arial" w:cs="Arial" w:eastAsia="Arial" w:hAnsi="Arial"/>
          <w:sz w:val="10"/>
          <w:szCs w:val="1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72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MEMORANDUM FOR</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Authorizing Official — Operation Iron Shield Program</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FROM</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Ashley Miller, ISSO — Operation Iron Shield Case Management System</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DATE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July 2026</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SUBJECT</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Authorization Recommendation — Operation Iron Shield Case Management System (OIS-CMS-001)</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REFERENCE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NIST SP 800-37 Rev 2 | NIST SP 800-53 Rev 5 | FISMA | DoDI 8510.01 | FedRAMP</w:t>
            </w:r>
          </w:p>
        </w:tc>
      </w:tr>
    </w:tbl>
    <w:p>
      <w:pPr>
        <w:spacing w:after="60" w:before="0"/>
      </w:pPr>
      <w:r>
        <w:rPr>
          <w:rFonts w:ascii="Arial" w:cs="Arial" w:eastAsia="Arial" w:hAnsi="Arial"/>
          <w:sz w:val="10"/>
          <w:szCs w:val="10"/>
        </w:rPr>
        <w:t xml:space="preserve"/>
      </w:r>
    </w:p>
    <w:p>
      <w:pPr>
        <w:pBdr>
          <w:bottom w:val="single" w:color="1F3864" w:sz="8" w:space="2"/>
        </w:pBdr>
        <w:spacing w:after="60" w:before="200"/>
      </w:pPr>
      <w:r>
        <w:rPr>
          <w:rFonts w:ascii="Arial" w:cs="Arial" w:eastAsia="Arial" w:hAnsi="Arial"/>
          <w:b/>
          <w:bCs/>
          <w:color w:val="1F3864"/>
          <w:sz w:val="20"/>
          <w:szCs w:val="20"/>
        </w:rPr>
        <w:t xml:space="preserve">1. PURPOSE</w:t>
      </w:r>
    </w:p>
    <w:p>
      <w:pPr>
        <w:spacing w:after="80" w:before="0"/>
      </w:pPr>
      <w:r>
        <w:rPr>
          <w:rFonts w:ascii="Arial" w:cs="Arial" w:eastAsia="Arial" w:hAnsi="Arial"/>
          <w:color w:val="000000"/>
          <w:sz w:val="19"/>
          <w:szCs w:val="19"/>
        </w:rPr>
        <w:t xml:space="preserve">The purpose of this memorandum is to provide the Authorizing Official (AO) with a formal security assessment summary and authorization recommendation for the Operation Iron Shield Case Management System (OIS-CMS), system identifier OIS-CMS-001. This memorandum synthesizes the findings of the OIS-CMS authorization package — including the System Security Plan (SSP), Security Control Traceability Matrix (SCTM), and Plan of Action and Milestones (POA&amp;M) — into a concise risk-based recommendation to support the AO's authorization decision in accordance with NIST SP 800-37 Rev 2, RMF Step 5.</w:t>
      </w:r>
    </w:p>
    <w:p>
      <w:pPr>
        <w:pBdr>
          <w:bottom w:val="single" w:color="1F3864" w:sz="8" w:space="2"/>
        </w:pBdr>
        <w:spacing w:after="60" w:before="200"/>
      </w:pPr>
      <w:r>
        <w:rPr>
          <w:rFonts w:ascii="Arial" w:cs="Arial" w:eastAsia="Arial" w:hAnsi="Arial"/>
          <w:b/>
          <w:bCs/>
          <w:color w:val="1F3864"/>
          <w:sz w:val="20"/>
          <w:szCs w:val="20"/>
        </w:rPr>
        <w:t xml:space="preserve">2. SYSTEM OVERVIEW</w:t>
      </w:r>
    </w:p>
    <w:p>
      <w:pPr>
        <w:spacing w:after="60" w:before="0"/>
      </w:pPr>
      <w:r>
        <w:rPr>
          <w:rFonts w:ascii="Arial" w:cs="Arial" w:eastAsia="Arial" w:hAnsi="Arial"/>
          <w:sz w:val="10"/>
          <w:szCs w:val="1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72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Name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 Iron Shield Case Management System</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Identifier</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OIS-CMS-001</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Type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Major Application</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Operating Environment</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GovCloud (FedRAMP High Authorized)</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Data Classification</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Controlled Unclassified Information (CUI)</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Impact Level</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MODERATE — per FIPS 199</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Control Baseline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NIST SP 800-53 Rev 5 Moderate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User Population</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47 Authorized Government Users</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Locations</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Washington D.C. | San Antonio TX | Remote Workforce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Status</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Operational — Authorization Pending</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Prior Authorization</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None — First RMF Authorization Cycle</w:t>
            </w:r>
          </w:p>
        </w:tc>
      </w:tr>
    </w:tbl>
    <w:p>
      <w:pPr>
        <w:spacing w:after="60" w:before="0"/>
      </w:pPr>
      <w:r>
        <w:rPr>
          <w:rFonts w:ascii="Arial" w:cs="Arial" w:eastAsia="Arial" w:hAnsi="Arial"/>
          <w:sz w:val="10"/>
          <w:szCs w:val="10"/>
        </w:rPr>
        <w:t xml:space="preserve"/>
      </w:r>
    </w:p>
    <w:p>
      <w:pPr>
        <w:spacing w:after="80" w:before="0"/>
      </w:pPr>
      <w:r>
        <w:rPr>
          <w:rFonts w:ascii="Arial" w:cs="Arial" w:eastAsia="Arial" w:hAnsi="Arial"/>
          <w:color w:val="000000"/>
          <w:sz w:val="19"/>
          <w:szCs w:val="19"/>
        </w:rPr>
        <w:t xml:space="preserve">The Operation Iron Shield Case Management System (OIS-CMS) is a web-based application that enables authorized government personnel to create, manage, and track case records containing Controlled Unclassified Information (CUI). The system supports the full case lifecycle — from initial intake through resolution — and serves as the authoritative record system for OIS program operations. OIS-CMS has been operational for approximately two years serving 47 DoD users across three locations. This authorization package represents the first formal RMF authorization cycle for the system.</w:t>
      </w:r>
    </w:p>
    <w:p>
      <w:pPr>
        <w:pBdr>
          <w:bottom w:val="single" w:color="1F3864" w:sz="8" w:space="2"/>
        </w:pBdr>
        <w:spacing w:after="60" w:before="200"/>
      </w:pPr>
      <w:r>
        <w:rPr>
          <w:rFonts w:ascii="Arial" w:cs="Arial" w:eastAsia="Arial" w:hAnsi="Arial"/>
          <w:b/>
          <w:bCs/>
          <w:color w:val="1F3864"/>
          <w:sz w:val="20"/>
          <w:szCs w:val="20"/>
        </w:rPr>
        <w:t xml:space="preserve">3. AUTHORIZATION BASIS</w:t>
      </w:r>
    </w:p>
    <w:p>
      <w:pPr>
        <w:spacing w:after="80" w:before="0"/>
      </w:pPr>
      <w:r>
        <w:rPr>
          <w:rFonts w:ascii="Arial" w:cs="Arial" w:eastAsia="Arial" w:hAnsi="Arial"/>
          <w:color w:val="000000"/>
          <w:sz w:val="19"/>
          <w:szCs w:val="19"/>
        </w:rPr>
        <w:t xml:space="preserve">This authorization recommendation is based on assessment of OIS-CMS against the following applicable laws, regulations, and standards:</w:t>
      </w:r>
    </w:p>
    <w:p>
      <w:pPr>
        <w:pStyle w:val="ListParagraph"/>
        <w:numPr>
          <w:ilvl w:val="0"/>
          <w:numId w:val="2"/>
        </w:numPr>
        <w:spacing w:after="40" w:before="0"/>
      </w:pPr>
      <w:r>
        <w:rPr>
          <w:rFonts w:ascii="Arial" w:cs="Arial" w:eastAsia="Arial" w:hAnsi="Arial"/>
          <w:color w:val="000000"/>
          <w:sz w:val="19"/>
          <w:szCs w:val="19"/>
        </w:rPr>
        <w:t xml:space="preserve">Federal Information Security Modernization Act (FISMA) — establishes the legal mandate for federal information security programs and ATO requirements</w:t>
      </w:r>
    </w:p>
    <w:p>
      <w:pPr>
        <w:pStyle w:val="ListParagraph"/>
        <w:numPr>
          <w:ilvl w:val="0"/>
          <w:numId w:val="2"/>
        </w:numPr>
        <w:spacing w:after="40" w:before="0"/>
      </w:pPr>
      <w:r>
        <w:rPr>
          <w:rFonts w:ascii="Arial" w:cs="Arial" w:eastAsia="Arial" w:hAnsi="Arial"/>
          <w:color w:val="000000"/>
          <w:sz w:val="19"/>
          <w:szCs w:val="19"/>
        </w:rPr>
        <w:t xml:space="preserve">NIST SP 800-37 Rev 2 — Risk Management Framework — defines the six-step RMF authorization lifecycle governing this package</w:t>
      </w:r>
    </w:p>
    <w:p>
      <w:pPr>
        <w:pStyle w:val="ListParagraph"/>
        <w:numPr>
          <w:ilvl w:val="0"/>
          <w:numId w:val="2"/>
        </w:numPr>
        <w:spacing w:after="40" w:before="0"/>
      </w:pPr>
      <w:r>
        <w:rPr>
          <w:rFonts w:ascii="Arial" w:cs="Arial" w:eastAsia="Arial" w:hAnsi="Arial"/>
          <w:color w:val="000000"/>
          <w:sz w:val="19"/>
          <w:szCs w:val="19"/>
        </w:rPr>
        <w:t xml:space="preserve">NIST SP 800-53 Rev 5 — Moderate Baseline — provides the applicable security control set based on FIPS 199 categorization</w:t>
      </w:r>
    </w:p>
    <w:p>
      <w:pPr>
        <w:pStyle w:val="ListParagraph"/>
        <w:numPr>
          <w:ilvl w:val="0"/>
          <w:numId w:val="2"/>
        </w:numPr>
        <w:spacing w:after="40" w:before="0"/>
      </w:pPr>
      <w:r>
        <w:rPr>
          <w:rFonts w:ascii="Arial" w:cs="Arial" w:eastAsia="Arial" w:hAnsi="Arial"/>
          <w:color w:val="000000"/>
          <w:sz w:val="19"/>
          <w:szCs w:val="19"/>
        </w:rPr>
        <w:t xml:space="preserve">FIPS 199 — establishes the Moderate impact categorization for OIS-CMS across confidentiality, integrity, and availability</w:t>
      </w:r>
    </w:p>
    <w:p>
      <w:pPr>
        <w:pStyle w:val="ListParagraph"/>
        <w:numPr>
          <w:ilvl w:val="0"/>
          <w:numId w:val="2"/>
        </w:numPr>
        <w:spacing w:after="40" w:before="0"/>
      </w:pPr>
      <w:r>
        <w:rPr>
          <w:rFonts w:ascii="Arial" w:cs="Arial" w:eastAsia="Arial" w:hAnsi="Arial"/>
          <w:color w:val="000000"/>
          <w:sz w:val="19"/>
          <w:szCs w:val="19"/>
        </w:rPr>
        <w:t xml:space="preserve">FedRAMP — governs cloud service authorization for AWS GovCloud environment hosting OIS-CMS</w:t>
      </w:r>
    </w:p>
    <w:p>
      <w:pPr>
        <w:pStyle w:val="ListParagraph"/>
        <w:numPr>
          <w:ilvl w:val="0"/>
          <w:numId w:val="2"/>
        </w:numPr>
        <w:spacing w:after="40" w:before="0"/>
      </w:pPr>
      <w:r>
        <w:rPr>
          <w:rFonts w:ascii="Arial" w:cs="Arial" w:eastAsia="Arial" w:hAnsi="Arial"/>
          <w:color w:val="000000"/>
          <w:sz w:val="19"/>
          <w:szCs w:val="19"/>
        </w:rPr>
        <w:t xml:space="preserve">32 CFR Part 2002 — establishes CUI handling, safeguarding, and dissemination requirements</w:t>
      </w:r>
    </w:p>
    <w:p>
      <w:pPr>
        <w:pStyle w:val="ListParagraph"/>
        <w:numPr>
          <w:ilvl w:val="0"/>
          <w:numId w:val="2"/>
        </w:numPr>
        <w:spacing w:after="40" w:before="0"/>
      </w:pPr>
      <w:r>
        <w:rPr>
          <w:rFonts w:ascii="Arial" w:cs="Arial" w:eastAsia="Arial" w:hAnsi="Arial"/>
          <w:color w:val="000000"/>
          <w:sz w:val="19"/>
          <w:szCs w:val="19"/>
        </w:rPr>
        <w:t xml:space="preserve">DoD Instruction 8510.01 — implements RMF for DoD IT systems including eMASS authorization package requirements</w:t>
      </w:r>
    </w:p>
    <w:p>
      <w:pPr>
        <w:pStyle w:val="ListParagraph"/>
        <w:numPr>
          <w:ilvl w:val="0"/>
          <w:numId w:val="2"/>
        </w:numPr>
        <w:spacing w:after="40" w:before="0"/>
      </w:pPr>
      <w:r>
        <w:rPr>
          <w:rFonts w:ascii="Arial" w:cs="Arial" w:eastAsia="Arial" w:hAnsi="Arial"/>
          <w:color w:val="000000"/>
          <w:sz w:val="19"/>
          <w:szCs w:val="19"/>
        </w:rPr>
        <w:t xml:space="preserve">OMB Memorandum M-15-13 — mandates HTTPS and TLS enforcement across all federal internet-facing systems</w:t>
      </w:r>
    </w:p>
    <w:p>
      <w:pPr>
        <w:spacing w:after="60" w:before="0"/>
      </w:pPr>
      <w:r>
        <w:rPr>
          <w:rFonts w:ascii="Arial" w:cs="Arial" w:eastAsia="Arial" w:hAnsi="Arial"/>
          <w:sz w:val="10"/>
          <w:szCs w:val="10"/>
        </w:rPr>
        <w:t xml:space="preserve"/>
      </w:r>
    </w:p>
    <w:p>
      <w:pPr>
        <w:pBdr>
          <w:bottom w:val="single" w:color="1F3864" w:sz="8" w:space="2"/>
        </w:pBdr>
        <w:spacing w:after="60" w:before="200"/>
      </w:pPr>
      <w:r>
        <w:rPr>
          <w:rFonts w:ascii="Arial" w:cs="Arial" w:eastAsia="Arial" w:hAnsi="Arial"/>
          <w:b/>
          <w:bCs/>
          <w:color w:val="1F3864"/>
          <w:sz w:val="20"/>
          <w:szCs w:val="20"/>
        </w:rPr>
        <w:t xml:space="preserve">4. SECURITY ASSESSMENT SUMMARY</w:t>
      </w:r>
    </w:p>
    <w:p>
      <w:pPr>
        <w:spacing w:after="80" w:before="0"/>
      </w:pPr>
      <w:r>
        <w:rPr>
          <w:rFonts w:ascii="Arial" w:cs="Arial" w:eastAsia="Arial" w:hAnsi="Arial"/>
          <w:color w:val="000000"/>
          <w:sz w:val="19"/>
          <w:szCs w:val="19"/>
        </w:rPr>
        <w:t xml:space="preserve">The ISSO conducted a comprehensive assessment of OIS-CMS against the NIST SP 800-53 Rev 5 Moderate baseline. Thirty controls were assessed across seven priority control families. The following table summarizes findings by control family:</w:t>
      </w:r>
    </w:p>
    <w:p>
      <w:pPr>
        <w:spacing w:after="6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800"/>
        <w:gridCol w:w="1400"/>
        <w:gridCol w:w="5800"/>
      </w:tblGrid>
      <w:tr>
        <w:tc>
          <w:tcPr>
            <w:tcW w:type="dxa" w:w="2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Control Family</w:t>
            </w:r>
          </w:p>
        </w:tc>
        <w:tc>
          <w:tcPr>
            <w:tcW w:type="dxa" w:w="1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Risk Level</w:t>
            </w:r>
          </w:p>
        </w:tc>
        <w:tc>
          <w:tcPr>
            <w:tcW w:type="dxa" w:w="5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Summary Finding</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AC — Access Control</w:t>
            </w:r>
          </w:p>
        </w:tc>
        <w:tc>
          <w:tcPr>
            <w:tcW w:type="dxa" w:w="1400"/>
            <w:tcBorders>
              <w:top w:val="single" w:color="BFBFBF" w:sz="4"/>
              <w:left w:val="single" w:color="BFBFBF" w:sz="4"/>
              <w:bottom w:val="single" w:color="BFBFBF" w:sz="4"/>
              <w:right w:val="single" w:color="BFBFBF" w:sz="4"/>
            </w:tcBorders>
            <w:shd w:fill="ED7D31"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MODERATE</w:t>
            </w:r>
          </w:p>
        </w:tc>
        <w:tc>
          <w:tcPr>
            <w:tcW w:type="dxa" w:w="5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Technical controls operational (AC-3, AC-6, AC-17). Policy and procedures documentation missing (AC-1, AC-2).</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IA — Identification &amp; Auth</w:t>
            </w:r>
          </w:p>
        </w:tc>
        <w:tc>
          <w:tcPr>
            <w:tcW w:type="dxa" w:w="1400"/>
            <w:tcBorders>
              <w:top w:val="single" w:color="BFBFBF" w:sz="4"/>
              <w:left w:val="single" w:color="BFBFBF" w:sz="4"/>
              <w:bottom w:val="single" w:color="BFBFBF" w:sz="4"/>
              <w:right w:val="single" w:color="BFBFBF" w:sz="4"/>
            </w:tcBorders>
            <w:shd w:fill="ED7D31"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MODERATE</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PIV/CAC MFA fully operational (IA-2). Authenticator management procedures missing (IA-5). IA-8 not applicable.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AU — Audit &amp; Accountability</w:t>
            </w:r>
          </w:p>
        </w:tc>
        <w:tc>
          <w:tcPr>
            <w:tcW w:type="dxa" w:w="1400"/>
            <w:tcBorders>
              <w:top w:val="single" w:color="BFBFBF" w:sz="4"/>
              <w:left w:val="single" w:color="BFBFBF" w:sz="4"/>
              <w:bottom w:val="single" w:color="BFBFBF" w:sz="4"/>
              <w:right w:val="single" w:color="BFBFBF" w:sz="4"/>
            </w:tcBorders>
            <w:shd w:fill="ED7D31"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MODERATE</w:t>
            </w:r>
          </w:p>
        </w:tc>
        <w:tc>
          <w:tcPr>
            <w:tcW w:type="dxa" w:w="5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CloudTrail and CloudWatch logging operational (AU-2, AU-12). Review schedule and retention policy not documented (AU-6, AU-11).</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SC — System &amp; Comms Protection</w:t>
            </w:r>
          </w:p>
        </w:tc>
        <w:tc>
          <w:tcPr>
            <w:tcW w:type="dxa" w:w="1400"/>
            <w:tcBorders>
              <w:top w:val="single" w:color="BFBFBF" w:sz="4"/>
              <w:left w:val="single" w:color="BFBFBF" w:sz="4"/>
              <w:bottom w:val="single" w:color="BFBFBF" w:sz="4"/>
              <w:right w:val="single" w:color="BFBFBF" w:sz="4"/>
            </w:tcBorders>
            <w:shd w:fill="ED7D31"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MODERATE</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TLS, boundary protection, and encryption fully operational (SC-7, SC-8, SC-13). Key rotation procedures missing (SC-12).</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IR — Incident Response</w:t>
            </w:r>
          </w:p>
        </w:tc>
        <w:tc>
          <w:tcPr>
            <w:tcW w:type="dxa" w:w="1400"/>
            <w:tcBorders>
              <w:top w:val="single" w:color="BFBFBF" w:sz="4"/>
              <w:left w:val="single" w:color="BFBFBF" w:sz="4"/>
              <w:bottom w:val="single" w:color="BFBFBF" w:sz="4"/>
              <w:right w:val="single" w:color="BFBFBF" w:sz="4"/>
            </w:tcBorders>
            <w:shd w:fill="C000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HIGH</w:t>
            </w:r>
          </w:p>
        </w:tc>
        <w:tc>
          <w:tcPr>
            <w:tcW w:type="dxa" w:w="5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 formal IR policy, IR Plan, or incident tracking log exists. Seven phase lifecycle understood operationally but not documented.</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CM — Configuration Management</w:t>
            </w:r>
          </w:p>
        </w:tc>
        <w:tc>
          <w:tcPr>
            <w:tcW w:type="dxa" w:w="1400"/>
            <w:tcBorders>
              <w:top w:val="single" w:color="BFBFBF" w:sz="4"/>
              <w:left w:val="single" w:color="BFBFBF" w:sz="4"/>
              <w:bottom w:val="single" w:color="BFBFBF" w:sz="4"/>
              <w:right w:val="single" w:color="BFBFBF" w:sz="4"/>
            </w:tcBorders>
            <w:shd w:fill="C000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HIGH</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 baseline configuration document exists. No policy. Configuration settings technically correct but undocumented.</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RA — Risk Assessment</w:t>
            </w:r>
          </w:p>
        </w:tc>
        <w:tc>
          <w:tcPr>
            <w:tcW w:type="dxa" w:w="1400"/>
            <w:tcBorders>
              <w:top w:val="single" w:color="BFBFBF" w:sz="4"/>
              <w:left w:val="single" w:color="BFBFBF" w:sz="4"/>
              <w:bottom w:val="single" w:color="BFBFBF" w:sz="4"/>
              <w:right w:val="single" w:color="BFBFBF" w:sz="4"/>
            </w:tcBorders>
            <w:shd w:fill="ED7D31"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MODERATE</w:t>
            </w:r>
          </w:p>
        </w:tc>
        <w:tc>
          <w:tcPr>
            <w:tcW w:type="dxa" w:w="5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Informal risk assessment conducted through RMF process. No formal NIST SP 800-30 compliant risk assessment document produced.</w:t>
            </w:r>
          </w:p>
        </w:tc>
      </w:tr>
    </w:tbl>
    <w:p>
      <w:pPr>
        <w:spacing w:after="60" w:before="0"/>
      </w:pPr>
      <w:r>
        <w:rPr>
          <w:rFonts w:ascii="Arial" w:cs="Arial" w:eastAsia="Arial" w:hAnsi="Arial"/>
          <w:sz w:val="10"/>
          <w:szCs w:val="10"/>
        </w:rPr>
        <w:t xml:space="preserve"/>
      </w:r>
    </w:p>
    <w:p>
      <w:pPr>
        <w:spacing w:after="80" w:before="0"/>
      </w:pPr>
      <w:r>
        <w:rPr>
          <w:rFonts w:ascii="Arial" w:cs="Arial" w:eastAsia="Arial" w:hAnsi="Arial"/>
          <w:b/>
          <w:bCs/>
          <w:i w:val="false"/>
          <w:iCs w:val="false"/>
          <w:color w:val="000000"/>
          <w:sz w:val="19"/>
          <w:szCs w:val="19"/>
        </w:rPr>
        <w:t xml:space="preserve">Overall Assessment: </w:t>
      </w:r>
      <w:r>
        <w:rPr>
          <w:rFonts w:ascii="Arial" w:cs="Arial" w:eastAsia="Arial" w:hAnsi="Arial"/>
          <w:b w:val="false"/>
          <w:bCs w:val="false"/>
          <w:i w:val="false"/>
          <w:iCs w:val="false"/>
          <w:color w:val="000000"/>
          <w:sz w:val="19"/>
          <w:szCs w:val="19"/>
        </w:rPr>
        <w:t xml:space="preserve">30 controls assessed | 11 Implemented (37%) | 13 Partially Implemented (43%) | 5 Not Implemented (17%) | 1 Not Applicable (3%)</w:t>
      </w:r>
    </w:p>
    <w:p>
      <w:pPr>
        <w:spacing w:after="60" w:before="0"/>
      </w:pPr>
      <w:r>
        <w:rPr>
          <w:rFonts w:ascii="Arial" w:cs="Arial" w:eastAsia="Arial" w:hAnsi="Arial"/>
          <w:sz w:val="10"/>
          <w:szCs w:val="10"/>
        </w:rPr>
        <w:t xml:space="preserve"/>
      </w:r>
    </w:p>
    <w:p>
      <w:pPr>
        <w:pBdr>
          <w:bottom w:val="single" w:color="1F3864" w:sz="8" w:space="2"/>
        </w:pBdr>
        <w:spacing w:after="60" w:before="200"/>
      </w:pPr>
      <w:r>
        <w:rPr>
          <w:rFonts w:ascii="Arial" w:cs="Arial" w:eastAsia="Arial" w:hAnsi="Arial"/>
          <w:b/>
          <w:bCs/>
          <w:color w:val="1F3864"/>
          <w:sz w:val="20"/>
          <w:szCs w:val="20"/>
        </w:rPr>
        <w:t xml:space="preserve">5. RISK ASSESSMENT</w:t>
      </w:r>
    </w:p>
    <w:p>
      <w:pPr>
        <w:spacing w:after="80" w:before="0"/>
      </w:pPr>
      <w:r>
        <w:rPr>
          <w:rFonts w:ascii="Arial" w:cs="Arial" w:eastAsia="Arial" w:hAnsi="Arial"/>
          <w:b/>
          <w:bCs/>
          <w:i w:val="false"/>
          <w:iCs w:val="false"/>
          <w:color w:val="70AD47"/>
          <w:sz w:val="19"/>
          <w:szCs w:val="19"/>
        </w:rPr>
        <w:t xml:space="preserve">Technical Security Posture — Sound</w:t>
      </w:r>
    </w:p>
    <w:p>
      <w:pPr>
        <w:spacing w:after="80" w:before="0"/>
      </w:pPr>
      <w:r>
        <w:rPr>
          <w:rFonts w:ascii="Arial" w:cs="Arial" w:eastAsia="Arial" w:hAnsi="Arial"/>
          <w:color w:val="000000"/>
          <w:sz w:val="19"/>
          <w:szCs w:val="19"/>
        </w:rPr>
        <w:t xml:space="preserve">The technical security controls of OIS-CMS are operational and functioning correctly. Access enforcement is implemented through Role-Based Access Control (RBAC) at the application layer and AWS IAM at the infrastructure level. All 47 users authenticate using PIV/CAC smart cards combined with PIN enforcement — MFA cannot be bypassed by any user. The system boundary is protected by AWS WAF, VPC isolation, and security groups. CUI at rest is encrypted using AES-256 through AWS KMS. All data in transit is encrypted using TLS 1.2 minimum per OMB M-15-13. Audit logging is fully operational through AWS CloudTrail and CloudWatch. The technical security posture is sound.</w:t>
      </w:r>
    </w:p>
    <w:p>
      <w:pPr>
        <w:spacing w:after="80" w:before="0"/>
      </w:pPr>
      <w:r>
        <w:rPr>
          <w:rFonts w:ascii="Arial" w:cs="Arial" w:eastAsia="Arial" w:hAnsi="Arial"/>
          <w:b/>
          <w:bCs/>
          <w:i w:val="false"/>
          <w:iCs w:val="false"/>
          <w:color w:val="C00000"/>
          <w:sz w:val="19"/>
          <w:szCs w:val="19"/>
        </w:rPr>
        <w:t xml:space="preserve">Governance Posture — Deficient</w:t>
      </w:r>
    </w:p>
    <w:p>
      <w:pPr>
        <w:spacing w:after="80" w:before="0"/>
      </w:pPr>
      <w:r>
        <w:rPr>
          <w:rFonts w:ascii="Arial" w:cs="Arial" w:eastAsia="Arial" w:hAnsi="Arial"/>
          <w:color w:val="000000"/>
          <w:sz w:val="19"/>
          <w:szCs w:val="19"/>
        </w:rPr>
        <w:t xml:space="preserve">The governance and compliance framework for OIS-CMS is absent. The system has been operational for two years without a single formally documented, approved, or disseminated policy document. No access control policy, authentication policy, audit policy, system and communications protection policy, incident response policy, configuration management policy, or risk assessment policy exists. Without this governance documentation OIS-CMS employees have no documented rules to abide by, technical teams have no documented procedures to follow, and management has no compliance framework to demonstrate to auditors. The absence of governance documentation does not constitute a technical failure — but it constitutes a compliance failure under FISMA, FedRAMP, and DoDI 8510.01.</w:t>
      </w:r>
    </w:p>
    <w:p>
      <w:pPr>
        <w:spacing w:after="80" w:before="0"/>
      </w:pPr>
      <w:r>
        <w:rPr>
          <w:rFonts w:ascii="Arial" w:cs="Arial" w:eastAsia="Arial" w:hAnsi="Arial"/>
          <w:b/>
          <w:bCs/>
          <w:i w:val="false"/>
          <w:iCs w:val="false"/>
          <w:color w:val="ED7D31"/>
          <w:sz w:val="19"/>
          <w:szCs w:val="19"/>
        </w:rPr>
        <w:t xml:space="preserve">Residual Risk Under IATO — Manageable</w:t>
      </w:r>
    </w:p>
    <w:p>
      <w:pPr>
        <w:spacing w:after="80" w:before="0"/>
      </w:pPr>
      <w:r>
        <w:rPr>
          <w:rFonts w:ascii="Arial" w:cs="Arial" w:eastAsia="Arial" w:hAnsi="Arial"/>
          <w:color w:val="000000"/>
          <w:sz w:val="19"/>
          <w:szCs w:val="19"/>
        </w:rPr>
        <w:t xml:space="preserve">Operating OIS-CMS under an Interim Authorization to Operate presents two categories of residual risk. First, configuration drift — without a documented baseline configuration, changes to system settings may go undetected or undocumented during the IATO period. This risk is mitigated by the existing CloudTrail logging that captures all configuration changes, and will be fully addressed through the CM-2 baseline configuration POA&amp;M remediation. Second, emerging vulnerabilities — without a formal vulnerability scanning program, new vulnerabilities may not be identified and remediated within required SLA timeframes. This risk is mitigated by AWS Inspector availability and will be fully addressed through the RA-5 vulnerability scanning program POA&amp;M remediation. Both residual risks are being actively tracked in the OIS-CMS POA&amp;M and are manageable within the proposed 90-day IATO period.</w:t>
      </w:r>
    </w:p>
    <w:p>
      <w:pPr>
        <w:pBdr>
          <w:bottom w:val="single" w:color="1F3864" w:sz="8" w:space="2"/>
        </w:pBdr>
        <w:spacing w:after="60" w:before="200"/>
      </w:pPr>
      <w:r>
        <w:rPr>
          <w:rFonts w:ascii="Arial" w:cs="Arial" w:eastAsia="Arial" w:hAnsi="Arial"/>
          <w:b/>
          <w:bCs/>
          <w:color w:val="1F3864"/>
          <w:sz w:val="20"/>
          <w:szCs w:val="20"/>
        </w:rPr>
        <w:t xml:space="preserve">6. PLAN OF ACTION AND MILESTONES SUMMARY</w:t>
      </w:r>
    </w:p>
    <w:p>
      <w:pPr>
        <w:spacing w:after="80" w:before="0"/>
      </w:pPr>
      <w:r>
        <w:rPr>
          <w:rFonts w:ascii="Arial" w:cs="Arial" w:eastAsia="Arial" w:hAnsi="Arial"/>
          <w:color w:val="000000"/>
          <w:sz w:val="19"/>
          <w:szCs w:val="19"/>
        </w:rPr>
        <w:t xml:space="preserve">The OIS-CMS POA&amp;M documents 19 findings across seven control families. All 19 findings trace back to a single root cause — missing governance documentation. No finding represents a broken or non-functional technical control. The POA&amp;M is structured in three remediation phases:</w:t>
      </w:r>
    </w:p>
    <w:p>
      <w:pPr>
        <w:spacing w:after="6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400"/>
        <w:gridCol w:w="3800"/>
        <w:gridCol w:w="2400"/>
        <w:gridCol w:w="2400"/>
      </w:tblGrid>
      <w:tr>
        <w:tc>
          <w:tcPr>
            <w:tcW w:type="dxa" w:w="1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w:t>
            </w:r>
          </w:p>
        </w:tc>
        <w:tc>
          <w:tcPr>
            <w:tcW w:type="dxa" w:w="3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Condition</w:t>
            </w:r>
          </w:p>
        </w:tc>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Requirement</w:t>
            </w:r>
          </w:p>
        </w:tc>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Due Date</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Phase 1</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7 foundational policy documents — AC-1, IA-1, AU-1, SC-1, IR-1, CM-1, RA-1</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all seven -1 policy controls</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30 days</w:t>
            </w:r>
          </w:p>
        </w:tc>
      </w:tr>
      <w:tr>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Phase 2</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Operational plans and configurations — IR Plan, Baseline Config, Risk Assessment, Vulnerability Scanning Program</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all operational artifacts</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60 days</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Phase 3</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Procedures and documentation gaps — account management, authenticator management, audit review, key rotation, configuration settings</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all procedures documentation</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90 days</w:t>
            </w:r>
          </w:p>
        </w:tc>
      </w:tr>
    </w:tbl>
    <w:p>
      <w:pPr>
        <w:spacing w:after="60" w:before="0"/>
      </w:pPr>
      <w:r>
        <w:rPr>
          <w:rFonts w:ascii="Arial" w:cs="Arial" w:eastAsia="Arial" w:hAnsi="Arial"/>
          <w:sz w:val="10"/>
          <w:szCs w:val="10"/>
        </w:rPr>
        <w:t xml:space="preserve"/>
      </w:r>
    </w:p>
    <w:p>
      <w:pPr>
        <w:spacing w:after="80" w:before="0"/>
      </w:pPr>
      <w:r>
        <w:rPr>
          <w:rFonts w:ascii="Arial" w:cs="Arial" w:eastAsia="Arial" w:hAnsi="Arial"/>
          <w:color w:val="000000"/>
          <w:sz w:val="19"/>
          <w:szCs w:val="19"/>
        </w:rPr>
        <w:t xml:space="preserve">Upon closure of all 19 POA&amp;M findings the ISSO will submit a formal POA&amp;M closure report to the AO with supporting evidence of remediation for each finding. At that point the ISSO will recommend conversion of the IATO to a full Authorization to Operate.</w:t>
      </w:r>
    </w:p>
    <w:p>
      <w:pPr>
        <w:pBdr>
          <w:bottom w:val="single" w:color="1F3864" w:sz="8" w:space="2"/>
        </w:pBdr>
        <w:spacing w:after="60" w:before="200"/>
      </w:pPr>
      <w:r>
        <w:rPr>
          <w:rFonts w:ascii="Arial" w:cs="Arial" w:eastAsia="Arial" w:hAnsi="Arial"/>
          <w:b/>
          <w:bCs/>
          <w:color w:val="1F3864"/>
          <w:sz w:val="20"/>
          <w:szCs w:val="20"/>
        </w:rPr>
        <w:t xml:space="preserve">7. ISSO RECOMMENDATION</w:t>
      </w:r>
    </w:p>
    <w:p>
      <w:pPr>
        <w:pBdr>
          <w:top w:val="single" w:color="1F3864" w:sz="8" w:space="4"/>
          <w:bottom w:val="single" w:color="1F3864" w:sz="8" w:space="4"/>
        </w:pBdr>
        <w:spacing w:after="60" w:before="60"/>
      </w:pPr>
      <w:r>
        <w:rPr>
          <w:rFonts w:ascii="Arial" w:cs="Arial" w:eastAsia="Arial" w:hAnsi="Arial"/>
          <w:b/>
          <w:bCs/>
          <w:color w:val="1F3864"/>
          <w:sz w:val="22"/>
          <w:szCs w:val="22"/>
        </w:rPr>
        <w:t xml:space="preserve">RECOMMENDATION: INTERIM AUTHORIZATION TO OPERATE (IATO) — 90 DAYS</w:t>
      </w:r>
    </w:p>
    <w:p>
      <w:pPr>
        <w:spacing w:after="60" w:before="0"/>
      </w:pPr>
      <w:r>
        <w:rPr>
          <w:rFonts w:ascii="Arial" w:cs="Arial" w:eastAsia="Arial" w:hAnsi="Arial"/>
          <w:sz w:val="10"/>
          <w:szCs w:val="10"/>
        </w:rPr>
        <w:t xml:space="preserve"/>
      </w:r>
    </w:p>
    <w:p>
      <w:pPr>
        <w:spacing w:after="80" w:before="0"/>
      </w:pPr>
      <w:r>
        <w:rPr>
          <w:rFonts w:ascii="Arial" w:cs="Arial" w:eastAsia="Arial" w:hAnsi="Arial"/>
          <w:color w:val="000000"/>
          <w:sz w:val="19"/>
          <w:szCs w:val="19"/>
        </w:rPr>
        <w:t xml:space="preserve">Based on the security assessment findings documented in the OIS-CMS SSP, SCTM, and POA&amp;M, the ISSO recommends that the Authorizing Official grant an Interim Authorization to Operate (IATO) for the Operation Iron Shield Case Management System for a period of 90 days from the date of this memorandum.</w:t>
      </w:r>
    </w:p>
    <w:p>
      <w:pPr>
        <w:spacing w:after="80" w:before="0"/>
      </w:pPr>
      <w:r>
        <w:rPr>
          <w:rFonts w:ascii="Arial" w:cs="Arial" w:eastAsia="Arial" w:hAnsi="Arial"/>
          <w:color w:val="000000"/>
          <w:sz w:val="19"/>
          <w:szCs w:val="19"/>
        </w:rPr>
        <w:t xml:space="preserve">OIS-CMS is a mission-critical system serving 47 DoD users across three locations whose daily operations depend on access to CUI case records. Denying authorization would prohibit those users access to data required for mission execution — a consequence disproportionate to the nature of the identified gaps, which are governance documentation failures rather than technical security failures.</w:t>
      </w:r>
    </w:p>
    <w:p>
      <w:pPr>
        <w:spacing w:after="80" w:before="0"/>
      </w:pPr>
      <w:r>
        <w:rPr>
          <w:rFonts w:ascii="Arial" w:cs="Arial" w:eastAsia="Arial" w:hAnsi="Arial"/>
          <w:color w:val="000000"/>
          <w:sz w:val="19"/>
          <w:szCs w:val="19"/>
        </w:rPr>
        <w:t xml:space="preserve">While all technical controls are operational and sound, the complete absence of governance documentation renders OIS-CMS non-compliant with FISMA, FedRAMP, and DoDI 8510.01 requirements. Operating indefinitely without policy documentation is unacceptable — it leaves employees without documented rules, technical teams without documented procedures, and the organization without a compliance framework defensible against future security audits. An IATO provides the program a structured 90-day remediation window to build the governance layer around the technical controls that already function correctly, while maintaining AO oversight through monthly status reporting and the authority to revoke authorization if milestones are not met.</w:t>
      </w:r>
    </w:p>
    <w:p>
      <w:pPr>
        <w:pBdr>
          <w:bottom w:val="single" w:color="1F3864" w:sz="8" w:space="2"/>
        </w:pBdr>
        <w:spacing w:after="60" w:before="200"/>
      </w:pPr>
      <w:r>
        <w:rPr>
          <w:rFonts w:ascii="Arial" w:cs="Arial" w:eastAsia="Arial" w:hAnsi="Arial"/>
          <w:b/>
          <w:bCs/>
          <w:color w:val="1F3864"/>
          <w:sz w:val="20"/>
          <w:szCs w:val="20"/>
        </w:rPr>
        <w:t xml:space="preserve">8. IATO CONDITIONS</w:t>
      </w:r>
    </w:p>
    <w:p>
      <w:pPr>
        <w:spacing w:after="80" w:before="0"/>
      </w:pPr>
      <w:r>
        <w:rPr>
          <w:rFonts w:ascii="Arial" w:cs="Arial" w:eastAsia="Arial" w:hAnsi="Arial"/>
          <w:color w:val="000000"/>
          <w:sz w:val="19"/>
          <w:szCs w:val="19"/>
        </w:rPr>
        <w:t xml:space="preserve">The ISSO recommends the following conditions be attached to the IATO. Failure to meet any condition by the specified date requires immediate notification to the AO and may result in reassessment of authorization status.</w:t>
      </w:r>
    </w:p>
    <w:p>
      <w:pPr>
        <w:spacing w:after="6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400"/>
        <w:gridCol w:w="3800"/>
        <w:gridCol w:w="2400"/>
        <w:gridCol w:w="2400"/>
      </w:tblGrid>
      <w:tr>
        <w:tc>
          <w:tcPr>
            <w:tcW w:type="dxa" w:w="1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w:t>
            </w:r>
          </w:p>
        </w:tc>
        <w:tc>
          <w:tcPr>
            <w:tcW w:type="dxa" w:w="3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Condition</w:t>
            </w:r>
          </w:p>
        </w:tc>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Requirement</w:t>
            </w:r>
          </w:p>
        </w:tc>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Due Date</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1</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all seven Phase 1 policy documents and submit to AO for review</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Seven foundational -1 policy controls closed in POA&amp;M</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Day 30</w:t>
            </w:r>
          </w:p>
        </w:tc>
      </w:tr>
      <w:tr>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2</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IR Plan, Baseline Configuration Document, and Vulnerability Scanning Program</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Phase 2 POA&amp;M entries closed with evidence</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Day 60</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3</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Complete all remaining Phase 3 procedures and documentation gaps</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All 19 POA&amp;M findings closed with evidence</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Day 90</w:t>
            </w:r>
          </w:p>
        </w:tc>
      </w:tr>
      <w:tr>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4</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Submit monthly POA&amp;M status reports to AO showing remediation progress</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Monthly written status report with POA&amp;M update</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Monthly</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5</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Notify AO immediately of any security incidents affecting CUI or system availability</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Incident notification within 1 hour per FISMA and US-CERT requirements</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Ongoing</w:t>
            </w:r>
          </w:p>
        </w:tc>
      </w:tr>
      <w:tr>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6</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 new system interconnections established without prior AO written approval</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ISA and MOU required before any connection — per SSP Section 5 policy</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Ongoing</w:t>
            </w:r>
          </w:p>
        </w:tc>
      </w:tr>
      <w:tr>
        <w:tc>
          <w:tcPr>
            <w:tcW w:type="dxa" w:w="1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bCs/>
                <w:color w:val="000000"/>
                <w:sz w:val="18"/>
                <w:szCs w:val="18"/>
              </w:rPr>
              <w:t xml:space="preserve">7</w:t>
            </w:r>
          </w:p>
        </w:tc>
        <w:tc>
          <w:tcPr>
            <w:tcW w:type="dxa" w:w="3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No significant system changes without change control board review and AO notification</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Configuration change documentation submitted within 5 business days</w:t>
            </w:r>
          </w:p>
        </w:tc>
        <w:tc>
          <w:tcPr>
            <w:tcW w:type="dxa" w:w="24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Ongoing</w:t>
            </w:r>
          </w:p>
        </w:tc>
      </w:tr>
    </w:tbl>
    <w:p>
      <w:pPr>
        <w:spacing w:after="60" w:before="0"/>
      </w:pPr>
      <w:r>
        <w:rPr>
          <w:rFonts w:ascii="Arial" w:cs="Arial" w:eastAsia="Arial" w:hAnsi="Arial"/>
          <w:sz w:val="10"/>
          <w:szCs w:val="10"/>
        </w:rPr>
        <w:t xml:space="preserve"/>
      </w:r>
    </w:p>
    <w:p>
      <w:pPr>
        <w:pBdr>
          <w:bottom w:val="single" w:color="1F3864" w:sz="8" w:space="2"/>
        </w:pBdr>
        <w:spacing w:after="60" w:before="200"/>
      </w:pPr>
      <w:r>
        <w:rPr>
          <w:rFonts w:ascii="Arial" w:cs="Arial" w:eastAsia="Arial" w:hAnsi="Arial"/>
          <w:b/>
          <w:bCs/>
          <w:color w:val="1F3864"/>
          <w:sz w:val="20"/>
          <w:szCs w:val="20"/>
        </w:rPr>
        <w:t xml:space="preserve">9. ISSO CERTIFICATION</w:t>
      </w:r>
    </w:p>
    <w:p>
      <w:pPr>
        <w:spacing w:after="80" w:before="0"/>
      </w:pPr>
      <w:r>
        <w:rPr>
          <w:rFonts w:ascii="Arial" w:cs="Arial" w:eastAsia="Arial" w:hAnsi="Arial"/>
          <w:color w:val="000000"/>
          <w:sz w:val="19"/>
          <w:szCs w:val="19"/>
        </w:rPr>
        <w:t xml:space="preserve">I certify that the information contained in this memorandum and the supporting authorization package — including the System Security Plan, Security Control Traceability Matrix, and Plan of Action and Milestones — accurately represents the current security posture of the Operation Iron Shield Case Management System to the best of my knowledge and professional assessment.</w:t>
      </w:r>
    </w:p>
    <w:p>
      <w:pPr>
        <w:spacing w:after="60" w:before="0"/>
      </w:pPr>
      <w:r>
        <w:rPr>
          <w:rFonts w:ascii="Arial" w:cs="Arial" w:eastAsia="Arial" w:hAnsi="Arial"/>
          <w:sz w:val="10"/>
          <w:szCs w:val="10"/>
        </w:rPr>
        <w:t xml:space="preserve"/>
      </w:r>
    </w:p>
    <w:p>
      <w:pPr>
        <w:spacing w:after="60" w:before="0"/>
      </w:pPr>
      <w:r>
        <w:rPr>
          <w:rFonts w:ascii="Arial" w:cs="Arial" w:eastAsia="Arial" w:hAnsi="Arial"/>
          <w:sz w:val="10"/>
          <w:szCs w:val="1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72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ISSO Name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Ashley Miller</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Title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Information System Security Officer — OIS-CMS</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 Iron Shield Case Management System (OIS-CMS-001)</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Date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July 2026</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Signature</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________________________</w:t>
            </w:r>
          </w:p>
        </w:tc>
      </w:tr>
      <w:tr>
        <w:tc>
          <w:tcPr>
            <w:tcW w:type="dxa" w:w="28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Recommendation</w:t>
            </w:r>
          </w:p>
        </w:tc>
        <w:tc>
          <w:tcPr>
            <w:tcW w:type="dxa" w:w="72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IATO — 90 Days with Conditions</w:t>
            </w:r>
          </w:p>
        </w:tc>
      </w:tr>
    </w:tbl>
    <w:p>
      <w:pPr>
        <w:spacing w:after="60" w:before="0"/>
      </w:pPr>
      <w:r>
        <w:rPr>
          <w:rFonts w:ascii="Arial" w:cs="Arial" w:eastAsia="Arial" w:hAnsi="Arial"/>
          <w:sz w:val="10"/>
          <w:szCs w:val="10"/>
        </w:rPr>
        <w:t xml:space="preserve"/>
      </w:r>
    </w:p>
    <w:p>
      <w:pPr>
        <w:pBdr>
          <w:top w:val="single" w:color="555555" w:sz="4" w:space="4"/>
        </w:pBdr>
        <w:spacing w:after="0" w:before="120"/>
        <w:jc w:val="center"/>
      </w:pPr>
      <w:r>
        <w:rPr>
          <w:rFonts w:ascii="Arial" w:cs="Arial" w:eastAsia="Arial" w:hAnsi="Arial"/>
          <w:i/>
          <w:iCs/>
          <w:color w:val="555555"/>
          <w:sz w:val="16"/>
          <w:szCs w:val="16"/>
        </w:rPr>
        <w:t xml:space="preserve">UNCLASSIFIED — FOR OFFICIAL USE ONLY — OIS-CMS-001 — ATO RECOMMENDATION MEMO — VERSION 1.0 — JULY 2026</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2026-07-29T01:38:38.002Z</dcterms:created>
  <dcterms:modified xsi:type="dcterms:W3CDTF">2026-07-29T01:38:38.003Z</dcterms:modified>
</cp:coreProperties>
</file>

<file path=docProps/custom.xml><?xml version="1.0" encoding="utf-8"?>
<Properties xmlns="http://schemas.openxmlformats.org/officeDocument/2006/custom-properties" xmlns:vt="http://schemas.openxmlformats.org/officeDocument/2006/docPropsVTypes"/>
</file>